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 w:leader="none" w:pos="4677" w:val="center"/>
          <w:tab w:leader="none" w:pos="6936" w:val="left"/>
        </w:tabs>
        <w:spacing w:after="0" w:before="0" w:line="100" w:lineRule="atLeast"/>
        <w:jc w:val="center"/>
      </w:pPr>
      <w:r>
        <w:rPr>
          <w:rFonts w:ascii="Times New Roman" w:cs="Times New Roman" w:hAnsi="Times New Roman"/>
          <w:b/>
          <w:color w:val="000000"/>
          <w:sz w:val="28"/>
          <w:szCs w:val="28"/>
        </w:rPr>
        <w:t xml:space="preserve">Заключение </w:t>
      </w:r>
    </w:p>
    <w:p>
      <w:pPr>
        <w:pStyle w:val="style0"/>
        <w:tabs>
          <w:tab w:leader="none" w:pos="708" w:val="left"/>
          <w:tab w:leader="none" w:pos="4677" w:val="center"/>
          <w:tab w:leader="none" w:pos="6936" w:val="left"/>
        </w:tabs>
        <w:spacing w:after="0" w:before="0" w:line="100" w:lineRule="atLeast"/>
        <w:jc w:val="center"/>
      </w:pPr>
      <w:r>
        <w:rPr>
          <w:rFonts w:ascii="Times New Roman" w:cs="Times New Roman" w:hAnsi="Times New Roman"/>
          <w:b/>
          <w:color w:val="000000"/>
          <w:sz w:val="28"/>
          <w:szCs w:val="28"/>
        </w:rPr>
        <w:t xml:space="preserve">комиссии  по бюджету и имущественным отношениям Собрания представителей сельского поселения </w:t>
      </w:r>
      <w:r>
        <w:rPr>
          <w:rFonts w:ascii="Times New Roman" w:cs="Times New Roman" w:hAnsi="Times New Roman"/>
          <w:b/>
          <w:color w:val="000000"/>
          <w:sz w:val="28"/>
          <w:szCs w:val="28"/>
        </w:rPr>
        <w:t xml:space="preserve">Красная Поляна </w:t>
      </w:r>
      <w:r>
        <w:rPr>
          <w:rFonts w:ascii="Times New Roman" w:cs="Times New Roman" w:hAnsi="Times New Roman"/>
          <w:b/>
          <w:color w:val="000000"/>
          <w:sz w:val="28"/>
          <w:szCs w:val="28"/>
        </w:rPr>
        <w:t>муниципального района Пестравский Самарской области</w:t>
      </w:r>
      <w:r>
        <w:rPr>
          <w:rFonts w:ascii="Times New Roman" w:cs="Times New Roman" w:eastAsia="Times New Roman" w:hAnsi="Times New Roman"/>
          <w:b/>
          <w:color w:val="000000"/>
          <w:sz w:val="28"/>
          <w:szCs w:val="28"/>
          <w:lang w:eastAsia="ru-RU"/>
        </w:rPr>
        <w:t xml:space="preserve"> на годовой отчет об исполнении бюджета </w:t>
      </w:r>
      <w:r>
        <w:rPr>
          <w:rFonts w:ascii="Times New Roman" w:cs="Times New Roman" w:hAnsi="Times New Roman"/>
          <w:b/>
          <w:color w:val="000000"/>
          <w:sz w:val="28"/>
          <w:szCs w:val="28"/>
        </w:rPr>
        <w:t xml:space="preserve">сельского поселения </w:t>
      </w:r>
      <w:r>
        <w:rPr>
          <w:rFonts w:ascii="Times New Roman" w:cs="Times New Roman" w:hAnsi="Times New Roman"/>
          <w:b/>
          <w:color w:val="000000"/>
          <w:sz w:val="28"/>
          <w:szCs w:val="28"/>
        </w:rPr>
        <w:t xml:space="preserve">Красная Поляна </w:t>
      </w:r>
      <w:r>
        <w:rPr>
          <w:rFonts w:ascii="Times New Roman" w:cs="Times New Roman" w:eastAsia="Times New Roman" w:hAnsi="Times New Roman"/>
          <w:b/>
          <w:bCs/>
          <w:color w:val="000000"/>
          <w:sz w:val="28"/>
          <w:szCs w:val="28"/>
          <w:lang w:eastAsia="ru-RU"/>
        </w:rPr>
        <w:t>муниципального района Пестравский Самарской области за 2020 год</w:t>
      </w:r>
    </w:p>
    <w:p>
      <w:pPr>
        <w:pStyle w:val="style0"/>
        <w:tabs>
          <w:tab w:leader="none" w:pos="708" w:val="left"/>
          <w:tab w:leader="none" w:pos="4677" w:val="center"/>
          <w:tab w:leader="none" w:pos="6936" w:val="left"/>
        </w:tabs>
      </w:pPr>
      <w:r>
        <w:rPr>
          <w:rFonts w:ascii="Times New Roman" w:cs="Times New Roman" w:hAnsi="Times New Roman"/>
          <w:color w:val="000000"/>
          <w:sz w:val="28"/>
          <w:szCs w:val="28"/>
        </w:rPr>
        <w:t xml:space="preserve">с. Красная Поляна                                                                     «14» </w:t>
      </w:r>
      <w:r>
        <w:rPr>
          <w:rFonts w:ascii="Times New Roman" w:cs="Times New Roman" w:hAnsi="Times New Roman"/>
          <w:sz w:val="28"/>
          <w:szCs w:val="28"/>
        </w:rPr>
        <w:t xml:space="preserve">апреля 2021 г.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color w:val="000000"/>
          <w:sz w:val="28"/>
          <w:szCs w:val="28"/>
        </w:rPr>
        <w:tab/>
        <w:t xml:space="preserve">      Заключение комиссии по бюджету и имущественным отношениям Собрания представителей сельского поселения Красная Поляна муниципального района Пестравский Самарской области (далее – комиссия) на годовой отчет об исполнении бюджета сельского поселения Красная Поляна муниципального района Пестравский Самарской области за 2020 год (далее – годовой отчет) подготовлено с учетом требований: Бюджетного кодекса Российской Федерации (далее – БК РФ); Устава сельского поселения Красная Поляна муниципального района Пестравский;  Положения о бюджетном устройстве и бюджетном процессе в сельском поселении Красная Поляна муниципального района Пестравский Самарской области (далее – Положение о бюджетном процессе); Положения о комиссии по бюджету и имущественным отношениям Собрания представителей сельского поселения Красная Поляна муниципального района Пестравский Самарской области и иных действующих законодательных и нормативно-правовых актов.</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Годовой отчет представлен в комиссию по бюджету и имущественным отношениям Собрания представителей сельского поселения </w:t>
      </w:r>
      <w:r>
        <w:rPr>
          <w:rFonts w:ascii="Times New Roman" w:cs="Times New Roman" w:hAnsi="Times New Roman"/>
          <w:color w:val="000000"/>
          <w:sz w:val="28"/>
          <w:szCs w:val="28"/>
        </w:rPr>
        <w:t xml:space="preserve">Красная Поляна </w:t>
      </w:r>
      <w:r>
        <w:rPr>
          <w:rFonts w:ascii="Times New Roman" w:cs="Times New Roman" w:hAnsi="Times New Roman"/>
          <w:color w:val="000000"/>
          <w:sz w:val="28"/>
          <w:szCs w:val="28"/>
        </w:rPr>
        <w:t>муниципального района Пестравский Самарской области для проведения экспертизы и подготовки заключения 25 марта 2021 года, что соответствует требованиям ст. 264.4. БК РФ. Комиссия, рассмотрев годовой отчет, отмечает следующее.</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В составе годового отчета представлена для внешней проверки бю</w:t>
      </w:r>
      <w:r>
        <w:rPr>
          <w:rFonts w:ascii="Times New Roman" w:cs="Times New Roman" w:hAnsi="Times New Roman"/>
          <w:color w:val="000000"/>
          <w:sz w:val="28"/>
          <w:szCs w:val="28"/>
        </w:rPr>
        <w:t xml:space="preserve">джетная отчетность за 2020 год, что соответствует требованиям ст. 264.4. БК РФ. Показатели представленных форм взаимоувязаны. Расхождения не установлены. Отчетность в целом информативна.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 соответствии с требованием ст. 264.6 БК РФ в прилагаемом к годовому отчету проекте решения об исполнении бюджета за год указаны показатели общего объема доходов, расходов и дефицита (профицита) бюджета, а также в приложениях к решению об исполнении бюджета за отчетный финансовый год отражены следующие показатели:</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доходы бюджета сельского поселения </w:t>
      </w:r>
      <w:r>
        <w:rPr>
          <w:rFonts w:ascii="Times New Roman" w:cs="Times New Roman" w:hAnsi="Times New Roman"/>
          <w:color w:val="000000"/>
          <w:sz w:val="28"/>
          <w:szCs w:val="28"/>
        </w:rPr>
        <w:t>Красная Поляна</w:t>
      </w:r>
      <w:r>
        <w:rPr>
          <w:rFonts w:ascii="Times New Roman" w:cs="Times New Roman" w:hAnsi="Times New Roman"/>
          <w:color w:val="000000"/>
          <w:sz w:val="28"/>
          <w:szCs w:val="28"/>
        </w:rPr>
        <w:t xml:space="preserve"> муниципального района Пестравский за 2020 год  по кодам видов доходов, подвидов доходов, классификации операций сектора государственного управления, относящихся к доходам  бюджета;</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ab/>
        <w:t>расходы бюджета з</w:t>
      </w:r>
      <w:r>
        <w:rPr>
          <w:rFonts w:ascii="Times New Roman" w:cs="Times New Roman" w:hAnsi="Times New Roman"/>
          <w:sz w:val="28"/>
          <w:szCs w:val="28"/>
        </w:rPr>
        <w:t>а 2020 год по ведомственной структуре расходов бюджета;</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ab/>
        <w:t>расходы бюджета за 2020 год по разделам и подразделам классификации расходов бюджетов;</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w:t>
      </w:r>
      <w:r>
        <w:rPr>
          <w:rFonts w:ascii="Times New Roman" w:cs="Times New Roman" w:hAnsi="Times New Roman"/>
          <w:color w:val="000000"/>
          <w:sz w:val="28"/>
          <w:szCs w:val="28"/>
        </w:rPr>
        <w:tab/>
        <w:t xml:space="preserve"> источники финансирования дефицита бюджета в 2020 году по  кодам классификации источников финансирования дефицитов бюджетов.</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В соответствии с п.7 ст.81 БК РФ к годовому отчету приложен отчет об использовании бюджетных ассигнований резервного фонда сельского поселения </w:t>
      </w:r>
      <w:r>
        <w:rPr>
          <w:rFonts w:ascii="Times New Roman" w:cs="Times New Roman" w:hAnsi="Times New Roman"/>
          <w:color w:val="000000"/>
          <w:sz w:val="28"/>
          <w:szCs w:val="28"/>
        </w:rPr>
        <w:t>Красная Поляна</w:t>
      </w:r>
      <w:r>
        <w:rPr>
          <w:rFonts w:ascii="Times New Roman" w:cs="Times New Roman" w:hAnsi="Times New Roman"/>
          <w:color w:val="000000"/>
          <w:sz w:val="28"/>
          <w:szCs w:val="28"/>
        </w:rPr>
        <w:t xml:space="preserve"> муниципального района Пестравский Самарской области за 2020 год.</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При проверке контрольных соотношений между показателями форм бюджетной отчетности несоответствия показателей не установлено.</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По итогам отчетного 2020 года доходы местного бюджета составили    7785,502 тыс. руб., расходы местного бюджета – 8000,110 тыс. руб. с превышением расходов над доходами в сумме 214,608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b/>
          <w:sz w:val="28"/>
          <w:szCs w:val="28"/>
        </w:rPr>
        <w:t>Структура доходов в разрезе статей за 2020 год:</w:t>
      </w:r>
    </w:p>
    <w:p>
      <w:pPr>
        <w:pStyle w:val="style0"/>
        <w:tabs>
          <w:tab w:leader="none" w:pos="708" w:val="left"/>
          <w:tab w:leader="none" w:pos="4677" w:val="center"/>
          <w:tab w:leader="none" w:pos="6936" w:val="left"/>
        </w:tabs>
        <w:spacing w:after="0" w:before="0" w:line="100" w:lineRule="atLeast"/>
        <w:jc w:val="both"/>
      </w:pPr>
      <w:r>
        <w:rPr/>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b/>
          <w:i/>
          <w:sz w:val="28"/>
          <w:szCs w:val="28"/>
        </w:rPr>
        <w:t>Налоговые и неналоговые доходы</w:t>
      </w:r>
      <w:r>
        <w:rPr>
          <w:rFonts w:ascii="Times New Roman" w:cs="Times New Roman" w:hAnsi="Times New Roman"/>
          <w:b/>
          <w:sz w:val="28"/>
          <w:szCs w:val="28"/>
        </w:rPr>
        <w:t xml:space="preserve"> – 3369,934 тыс. руб.,</w:t>
      </w:r>
      <w:r>
        <w:rPr>
          <w:rFonts w:ascii="Times New Roman" w:cs="Times New Roman" w:hAnsi="Times New Roman"/>
          <w:sz w:val="28"/>
          <w:szCs w:val="28"/>
        </w:rPr>
        <w:t xml:space="preserve"> из них:</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-Налог на доходы физических лиц – 381,803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-Доходы от уплаты акцизов на ГСМ – 2071,091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-ЕСХН – 81,469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-Налог на имущество физических лиц – 81,607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-Земельный налог – 686,465 тыс. руб.</w:t>
      </w:r>
      <w:r>
        <w:rPr>
          <w:rFonts w:ascii="Times New Roman" w:cs="Times New Roman" w:hAnsi="Times New Roman"/>
          <w:sz w:val="28"/>
          <w:szCs w:val="28"/>
          <w:lang w:val="en-US"/>
        </w:rPr>
        <w:t>;</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-Доходы от реализации имущества </w:t>
      </w:r>
      <w:r>
        <w:rPr>
          <w:rFonts w:ascii="Times New Roman" w:cs="Times New Roman" w:hAnsi="Times New Roman"/>
          <w:b/>
          <w:i/>
          <w:sz w:val="28"/>
          <w:szCs w:val="28"/>
        </w:rPr>
        <w:t xml:space="preserve"> </w:t>
      </w:r>
      <w:r>
        <w:rPr>
          <w:rFonts w:ascii="Times New Roman" w:cs="Times New Roman" w:hAnsi="Times New Roman"/>
          <w:sz w:val="28"/>
          <w:szCs w:val="28"/>
        </w:rPr>
        <w:t>– 67,500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b/>
          <w:i/>
          <w:sz w:val="28"/>
          <w:szCs w:val="28"/>
        </w:rPr>
        <w:t>Безвозмездные поступления</w:t>
      </w:r>
      <w:r>
        <w:rPr>
          <w:rFonts w:ascii="Times New Roman" w:cs="Times New Roman" w:hAnsi="Times New Roman"/>
          <w:b/>
          <w:sz w:val="28"/>
          <w:szCs w:val="28"/>
        </w:rPr>
        <w:t xml:space="preserve"> – 4415,568 тыс. руб.,</w:t>
      </w:r>
      <w:r>
        <w:rPr>
          <w:rFonts w:ascii="Times New Roman" w:cs="Times New Roman" w:hAnsi="Times New Roman"/>
          <w:sz w:val="28"/>
          <w:szCs w:val="28"/>
        </w:rPr>
        <w:t xml:space="preserve"> из них:</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-Дотации на выравнивание уровня бюджетной обеспеченности – 241,824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-Прочие дотации бюджетам сельских поселений– 200,00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-Субвенции бюджетам поселений на осуществление первичного воинского учета – 93,850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-Субсидии на обеспечение комплексного развития сельских территорий – 1031,023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-Прочие субсидии бюджетам сельских поселений  – 910,243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-Прочие межбюджетные трансферты, передаваемые бюджетам сельских поселений  – 1442,480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-Прочие безвозмездные поступления в бюджеты сельских поселений  – 496,149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Сравнительные показатели по выполнению плана доходов представлены в таблице (тыс. руб.):</w:t>
      </w:r>
    </w:p>
    <w:tbl>
      <w:tblPr>
        <w:jc w:val="left"/>
        <w:tblInd w:type="dxa" w:w="-216"/>
        <w:tblBorders/>
      </w:tblPr>
      <w:tblGrid>
        <w:gridCol w:w="3507"/>
        <w:gridCol w:w="1984"/>
        <w:gridCol w:w="1842"/>
        <w:gridCol w:w="2129"/>
      </w:tblGrid>
      <w:tr>
        <w:trPr>
          <w:trHeight w:hRule="atLeast" w:val="52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sz w:val="28"/>
                <w:szCs w:val="28"/>
              </w:rPr>
              <w:t>Наименование статьи доходов</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sz w:val="28"/>
                <w:szCs w:val="28"/>
              </w:rPr>
              <w:t>Бюджет (план) на 2020</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sz w:val="28"/>
                <w:szCs w:val="28"/>
              </w:rPr>
              <w:t>Факт за 2020</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sz w:val="28"/>
                <w:szCs w:val="28"/>
              </w:rPr>
              <w:t xml:space="preserve">Выполнение,  % </w:t>
            </w:r>
          </w:p>
        </w:tc>
      </w:tr>
      <w:tr>
        <w:trPr>
          <w:trHeight w:hRule="atLeast" w:val="52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sz w:val="28"/>
                <w:szCs w:val="28"/>
              </w:rPr>
              <w:t>Налоговые и неналоговые доходы, в т.ч.:</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3643,929</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lang w:val="en-US"/>
              </w:rPr>
              <w:t>3369</w:t>
            </w:r>
            <w:r>
              <w:rPr>
                <w:rFonts w:ascii="Times New Roman" w:cs="Times New Roman" w:hAnsi="Times New Roman"/>
                <w:b/>
                <w:bCs/>
                <w:sz w:val="28"/>
                <w:szCs w:val="28"/>
              </w:rPr>
              <w:t>,</w:t>
            </w:r>
            <w:r>
              <w:rPr>
                <w:rFonts w:ascii="Times New Roman" w:cs="Times New Roman" w:hAnsi="Times New Roman"/>
                <w:b/>
                <w:bCs/>
                <w:sz w:val="28"/>
                <w:szCs w:val="28"/>
                <w:lang w:val="en-US"/>
              </w:rPr>
              <w:t>934</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92,5</w:t>
            </w:r>
          </w:p>
        </w:tc>
      </w:tr>
      <w:tr>
        <w:trPr>
          <w:trHeight w:hRule="atLeast" w:val="390"/>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i/>
                <w:iCs/>
                <w:sz w:val="28"/>
                <w:szCs w:val="28"/>
              </w:rPr>
              <w:t>Налоговые доходы:</w:t>
            </w:r>
          </w:p>
        </w:tc>
        <w:tc>
          <w:tcPr>
            <w:tcW w:type="dxa" w:w="1984"/>
            <w:tcBorders/>
            <w:shd w:fill="FFFFFF" w:val="clear"/>
            <w:tcMar>
              <w:top w:type="dxa" w:w="0"/>
              <w:left w:type="dxa" w:w="108"/>
              <w:bottom w:type="dxa" w:w="0"/>
              <w:right w:type="dxa" w:w="108"/>
            </w:tcMar>
          </w:tcPr>
          <w:p>
            <w:pPr>
              <w:pStyle w:val="style0"/>
              <w:tabs>
                <w:tab w:leader="none" w:pos="405" w:val="left"/>
                <w:tab w:leader="none" w:pos="708" w:val="left"/>
                <w:tab w:leader="none" w:pos="4677" w:val="center"/>
                <w:tab w:leader="none" w:pos="6936" w:val="left"/>
              </w:tabs>
              <w:spacing w:after="160" w:before="0"/>
              <w:jc w:val="right"/>
            </w:pPr>
            <w:r>
              <w:rPr>
                <w:rFonts w:ascii="Times New Roman" w:cs="Times New Roman" w:hAnsi="Times New Roman"/>
                <w:b/>
                <w:bCs/>
                <w:sz w:val="28"/>
                <w:szCs w:val="28"/>
              </w:rPr>
              <w:t>3576,429</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3302,434</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92,3</w:t>
            </w:r>
          </w:p>
        </w:tc>
      </w:tr>
      <w:tr>
        <w:trPr>
          <w:trHeight w:hRule="atLeast" w:val="52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Налог на доходы физических лиц</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394,959</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lang w:val="en-US"/>
              </w:rPr>
              <w:t>381</w:t>
            </w:r>
            <w:r>
              <w:rPr>
                <w:rFonts w:ascii="Times New Roman" w:cs="Times New Roman" w:hAnsi="Times New Roman"/>
                <w:sz w:val="28"/>
                <w:szCs w:val="28"/>
              </w:rPr>
              <w:t>,</w:t>
            </w:r>
            <w:r>
              <w:rPr>
                <w:rFonts w:ascii="Times New Roman" w:cs="Times New Roman" w:hAnsi="Times New Roman"/>
                <w:sz w:val="28"/>
                <w:szCs w:val="28"/>
                <w:lang w:val="en-US"/>
              </w:rPr>
              <w:t>803</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96,7</w:t>
            </w:r>
          </w:p>
        </w:tc>
      </w:tr>
      <w:tr>
        <w:trPr>
          <w:trHeight w:hRule="atLeast" w:val="31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Доходы от уплаты акцизов на ГСМ</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2109,770</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lang w:val="en-US"/>
              </w:rPr>
              <w:t>2071</w:t>
            </w:r>
            <w:r>
              <w:rPr>
                <w:rFonts w:ascii="Times New Roman" w:cs="Times New Roman" w:hAnsi="Times New Roman"/>
                <w:sz w:val="28"/>
                <w:szCs w:val="28"/>
              </w:rPr>
              <w:t>,</w:t>
            </w:r>
            <w:r>
              <w:rPr>
                <w:rFonts w:ascii="Times New Roman" w:cs="Times New Roman" w:hAnsi="Times New Roman"/>
                <w:sz w:val="28"/>
                <w:szCs w:val="28"/>
                <w:lang w:val="en-US"/>
              </w:rPr>
              <w:t>091</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98,2</w:t>
            </w:r>
          </w:p>
        </w:tc>
      </w:tr>
      <w:tr>
        <w:trPr>
          <w:trHeight w:hRule="atLeast" w:val="390"/>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ЕСХН</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109,000</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lang w:val="en-US"/>
              </w:rPr>
              <w:t>81</w:t>
            </w:r>
            <w:r>
              <w:rPr>
                <w:rFonts w:ascii="Times New Roman" w:cs="Times New Roman" w:hAnsi="Times New Roman"/>
                <w:sz w:val="28"/>
                <w:szCs w:val="28"/>
              </w:rPr>
              <w:t>,</w:t>
            </w:r>
            <w:r>
              <w:rPr>
                <w:rFonts w:ascii="Times New Roman" w:cs="Times New Roman" w:hAnsi="Times New Roman"/>
                <w:sz w:val="28"/>
                <w:szCs w:val="28"/>
                <w:lang w:val="en-US"/>
              </w:rPr>
              <w:t>469</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74,7</w:t>
            </w:r>
          </w:p>
        </w:tc>
      </w:tr>
      <w:tr>
        <w:trPr>
          <w:trHeight w:hRule="atLeast" w:val="79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Налог на имущество физических лиц</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84,700</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lang w:val="en-US"/>
              </w:rPr>
              <w:t>81</w:t>
            </w:r>
            <w:r>
              <w:rPr>
                <w:rFonts w:ascii="Times New Roman" w:cs="Times New Roman" w:hAnsi="Times New Roman"/>
                <w:sz w:val="28"/>
                <w:szCs w:val="28"/>
              </w:rPr>
              <w:t>,</w:t>
            </w:r>
            <w:r>
              <w:rPr>
                <w:rFonts w:ascii="Times New Roman" w:cs="Times New Roman" w:hAnsi="Times New Roman"/>
                <w:sz w:val="28"/>
                <w:szCs w:val="28"/>
                <w:lang w:val="en-US"/>
              </w:rPr>
              <w:t>607</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96,3</w:t>
            </w:r>
          </w:p>
        </w:tc>
      </w:tr>
      <w:tr>
        <w:trPr>
          <w:trHeight w:hRule="atLeast" w:val="52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Земельный налог</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878,000</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lang w:val="en-US"/>
              </w:rPr>
              <w:t>686</w:t>
            </w:r>
            <w:r>
              <w:rPr>
                <w:rFonts w:ascii="Times New Roman" w:cs="Times New Roman" w:hAnsi="Times New Roman"/>
                <w:sz w:val="28"/>
                <w:szCs w:val="28"/>
              </w:rPr>
              <w:t>,</w:t>
            </w:r>
            <w:r>
              <w:rPr>
                <w:rFonts w:ascii="Times New Roman" w:cs="Times New Roman" w:hAnsi="Times New Roman"/>
                <w:sz w:val="28"/>
                <w:szCs w:val="28"/>
                <w:lang w:val="en-US"/>
              </w:rPr>
              <w:t>465</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78,2</w:t>
            </w:r>
          </w:p>
        </w:tc>
      </w:tr>
      <w:tr>
        <w:trPr>
          <w:trHeight w:hRule="atLeast" w:val="330"/>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i/>
                <w:iCs/>
                <w:sz w:val="28"/>
                <w:szCs w:val="28"/>
              </w:rPr>
              <w:t>Неналоговые доходы:</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67,500</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lang w:val="en-US"/>
              </w:rPr>
              <w:t>67</w:t>
            </w:r>
            <w:r>
              <w:rPr>
                <w:rFonts w:ascii="Times New Roman" w:cs="Times New Roman" w:hAnsi="Times New Roman"/>
                <w:b/>
                <w:bCs/>
                <w:sz w:val="28"/>
                <w:szCs w:val="28"/>
              </w:rPr>
              <w:t>,</w:t>
            </w:r>
            <w:r>
              <w:rPr>
                <w:rFonts w:ascii="Times New Roman" w:cs="Times New Roman" w:hAnsi="Times New Roman"/>
                <w:b/>
                <w:bCs/>
                <w:sz w:val="28"/>
                <w:szCs w:val="28"/>
                <w:lang w:val="en-US"/>
              </w:rPr>
              <w:t>500</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100,0</w:t>
            </w:r>
          </w:p>
        </w:tc>
      </w:tr>
      <w:tr>
        <w:trPr>
          <w:trHeight w:hRule="atLeast" w:val="46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 xml:space="preserve">Доходы от реализации имущества </w:t>
            </w:r>
            <w:r>
              <w:rPr>
                <w:rFonts w:ascii="Times New Roman" w:cs="Times New Roman" w:hAnsi="Times New Roman"/>
                <w:b/>
                <w:i/>
                <w:sz w:val="28"/>
                <w:szCs w:val="28"/>
              </w:rPr>
              <w:t xml:space="preserve"> </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67,500</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lang w:val="en-US"/>
              </w:rPr>
              <w:t>67</w:t>
            </w:r>
            <w:r>
              <w:rPr>
                <w:rFonts w:ascii="Times New Roman" w:cs="Times New Roman" w:hAnsi="Times New Roman"/>
                <w:sz w:val="28"/>
                <w:szCs w:val="28"/>
              </w:rPr>
              <w:t>,</w:t>
            </w:r>
            <w:r>
              <w:rPr>
                <w:rFonts w:ascii="Times New Roman" w:cs="Times New Roman" w:hAnsi="Times New Roman"/>
                <w:sz w:val="28"/>
                <w:szCs w:val="28"/>
                <w:lang w:val="en-US"/>
              </w:rPr>
              <w:t>500</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100,0</w:t>
            </w:r>
          </w:p>
        </w:tc>
      </w:tr>
      <w:tr>
        <w:trPr>
          <w:trHeight w:hRule="atLeast" w:val="52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sz w:val="28"/>
                <w:szCs w:val="28"/>
              </w:rPr>
              <w:t>Безвозмездные поступления, в том числе</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4701,953</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lang w:val="en-US"/>
              </w:rPr>
              <w:t>4415</w:t>
            </w:r>
            <w:r>
              <w:rPr>
                <w:rFonts w:ascii="Times New Roman" w:cs="Times New Roman" w:hAnsi="Times New Roman"/>
                <w:b/>
                <w:bCs/>
                <w:sz w:val="28"/>
                <w:szCs w:val="28"/>
              </w:rPr>
              <w:t>,</w:t>
            </w:r>
            <w:r>
              <w:rPr>
                <w:rFonts w:ascii="Times New Roman" w:cs="Times New Roman" w:hAnsi="Times New Roman"/>
                <w:b/>
                <w:bCs/>
                <w:sz w:val="28"/>
                <w:szCs w:val="28"/>
                <w:lang w:val="en-US"/>
              </w:rPr>
              <w:t>568</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93,9</w:t>
            </w:r>
          </w:p>
        </w:tc>
      </w:tr>
      <w:tr>
        <w:trPr>
          <w:trHeight w:hRule="atLeast" w:val="659"/>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Дотации на выравнивание уровня бюджетной обеспеченности</w:t>
            </w:r>
          </w:p>
        </w:tc>
        <w:tc>
          <w:tcPr>
            <w:tcW w:type="dxa" w:w="1984"/>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241,824</w:t>
            </w:r>
          </w:p>
        </w:tc>
        <w:tc>
          <w:tcPr>
            <w:tcW w:type="dxa" w:w="1842"/>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lang w:val="en-US"/>
              </w:rPr>
              <w:t>241</w:t>
            </w:r>
            <w:r>
              <w:rPr>
                <w:rFonts w:ascii="Times New Roman" w:cs="Times New Roman" w:hAnsi="Times New Roman"/>
                <w:sz w:val="28"/>
                <w:szCs w:val="28"/>
              </w:rPr>
              <w:t>,</w:t>
            </w:r>
            <w:r>
              <w:rPr>
                <w:rFonts w:ascii="Times New Roman" w:cs="Times New Roman" w:hAnsi="Times New Roman"/>
                <w:sz w:val="28"/>
                <w:szCs w:val="28"/>
                <w:lang w:val="en-US"/>
              </w:rPr>
              <w:t>824</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100,0</w:t>
            </w:r>
          </w:p>
        </w:tc>
      </w:tr>
      <w:tr>
        <w:trPr>
          <w:trHeight w:hRule="atLeast" w:val="659"/>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Прочие дотации бюджетам сельских поселений</w:t>
            </w:r>
          </w:p>
        </w:tc>
        <w:tc>
          <w:tcPr>
            <w:tcW w:type="dxa" w:w="1984"/>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200,000</w:t>
            </w:r>
          </w:p>
        </w:tc>
        <w:tc>
          <w:tcPr>
            <w:tcW w:type="dxa" w:w="1842"/>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200,000</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100,0</w:t>
            </w:r>
          </w:p>
        </w:tc>
      </w:tr>
      <w:tr>
        <w:trPr>
          <w:trHeight w:hRule="atLeast" w:val="518"/>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Субвенции бюджетам поселений на осуществление первичного воинского учета</w:t>
            </w:r>
          </w:p>
        </w:tc>
        <w:tc>
          <w:tcPr>
            <w:tcW w:type="dxa" w:w="1984"/>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93,850</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93,850</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100,0</w:t>
            </w:r>
          </w:p>
        </w:tc>
      </w:tr>
      <w:tr>
        <w:trPr>
          <w:trHeight w:hRule="atLeast" w:val="103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Субсидии на обеспечение комплексного развития сельских территорий</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1031,023</w:t>
            </w:r>
          </w:p>
        </w:tc>
        <w:tc>
          <w:tcPr>
            <w:tcW w:type="dxa" w:w="1842"/>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1031,023</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100,0</w:t>
            </w:r>
          </w:p>
        </w:tc>
      </w:tr>
      <w:tr>
        <w:trPr>
          <w:trHeight w:hRule="atLeast" w:val="103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 xml:space="preserve">Прочие субсидии бюджетам сельских поселений  </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910,243</w:t>
            </w:r>
          </w:p>
        </w:tc>
        <w:tc>
          <w:tcPr>
            <w:tcW w:type="dxa" w:w="1842"/>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910,243</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100,0</w:t>
            </w:r>
          </w:p>
        </w:tc>
      </w:tr>
      <w:tr>
        <w:trPr>
          <w:trHeight w:hRule="atLeast" w:val="103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 xml:space="preserve">Прочие межбюджетные трансферты, передаваемые бюджетам сельских поселений  </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1728,865</w:t>
            </w:r>
          </w:p>
        </w:tc>
        <w:tc>
          <w:tcPr>
            <w:tcW w:type="dxa" w:w="1842"/>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1442,480</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83,4</w:t>
            </w:r>
          </w:p>
        </w:tc>
      </w:tr>
      <w:tr>
        <w:trPr>
          <w:trHeight w:hRule="atLeast" w:val="1035"/>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sz w:val="28"/>
                <w:szCs w:val="28"/>
              </w:rPr>
              <w:t xml:space="preserve">Прочие безвозмездные поступления в бюджеты сельских поселений  </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sz w:val="28"/>
                <w:szCs w:val="28"/>
              </w:rPr>
              <w:t>496,149</w:t>
            </w:r>
          </w:p>
        </w:tc>
        <w:tc>
          <w:tcPr>
            <w:tcW w:type="dxa" w:w="1842"/>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496,149</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100,0</w:t>
            </w:r>
          </w:p>
        </w:tc>
      </w:tr>
      <w:tr>
        <w:trPr>
          <w:trHeight w:hRule="atLeast" w:val="510"/>
          <w:cantSplit w:val="false"/>
        </w:trPr>
        <w:tc>
          <w:tcPr>
            <w:tcW w:type="dxa" w:w="3507"/>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both"/>
            </w:pPr>
            <w:r>
              <w:rPr>
                <w:rFonts w:ascii="Times New Roman" w:cs="Times New Roman" w:hAnsi="Times New Roman"/>
                <w:b/>
                <w:bCs/>
                <w:sz w:val="28"/>
                <w:szCs w:val="28"/>
              </w:rPr>
              <w:t>Всего доходов</w:t>
            </w:r>
          </w:p>
        </w:tc>
        <w:tc>
          <w:tcPr>
            <w:tcW w:type="dxa" w:w="1984"/>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8345,882</w:t>
            </w:r>
          </w:p>
        </w:tc>
        <w:tc>
          <w:tcPr>
            <w:tcW w:type="dxa" w:w="1842"/>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7785,502</w:t>
            </w:r>
          </w:p>
        </w:tc>
        <w:tc>
          <w:tcPr>
            <w:tcW w:type="dxa" w:w="2129"/>
            <w:tcBorders/>
            <w:shd w:fill="FFFFFF" w:val="clear"/>
            <w:tcMar>
              <w:top w:type="dxa" w:w="0"/>
              <w:left w:type="dxa" w:w="108"/>
              <w:bottom w:type="dxa" w:w="0"/>
              <w:right w:type="dxa" w:w="108"/>
            </w:tcMar>
          </w:tcPr>
          <w:p>
            <w:pPr>
              <w:pStyle w:val="style0"/>
              <w:tabs>
                <w:tab w:leader="none" w:pos="708" w:val="left"/>
                <w:tab w:leader="none" w:pos="4677" w:val="center"/>
                <w:tab w:leader="none" w:pos="6936" w:val="left"/>
              </w:tabs>
              <w:spacing w:after="160" w:before="0"/>
              <w:jc w:val="right"/>
            </w:pPr>
            <w:r>
              <w:rPr>
                <w:rFonts w:ascii="Times New Roman" w:cs="Times New Roman" w:hAnsi="Times New Roman"/>
                <w:b/>
                <w:bCs/>
                <w:sz w:val="28"/>
                <w:szCs w:val="28"/>
              </w:rPr>
              <w:t>93,3</w:t>
            </w:r>
          </w:p>
        </w:tc>
      </w:tr>
    </w:tbl>
    <w:p>
      <w:pPr>
        <w:pStyle w:val="style0"/>
        <w:tabs>
          <w:tab w:leader="none" w:pos="708" w:val="left"/>
          <w:tab w:leader="none" w:pos="4677" w:val="center"/>
          <w:tab w:leader="none" w:pos="6936" w:val="left"/>
        </w:tabs>
        <w:spacing w:after="0" w:before="0" w:line="100" w:lineRule="atLeast"/>
        <w:jc w:val="both"/>
      </w:pPr>
      <w:r>
        <w:rPr/>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b/>
          <w:sz w:val="28"/>
          <w:szCs w:val="28"/>
        </w:rPr>
        <w:t>Структура исполнения расходов</w:t>
      </w:r>
      <w:r>
        <w:rPr>
          <w:rFonts w:ascii="Times New Roman" w:cs="Times New Roman" w:hAnsi="Times New Roman"/>
          <w:sz w:val="28"/>
          <w:szCs w:val="28"/>
        </w:rPr>
        <w:t xml:space="preserve"> бюджета в разрезе разделов классификации за 2020 год выглядит следующим образом:</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01 00 Общегосударственные вопросы – 2523,244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02 00 Национальная оборона – 93,850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03 00 Национальная безопасность и правоохранительная деятельность – 0,900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04 00 Национальная экономика – 3496,659 тыс. руб.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05 00 Жилищно-коммунальное хозяйство – 1837,457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08 00 Культура – 48,000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Всего   – 8000,110 тыс. руб.</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Расходы из резервного фонда в 2020 году не производились.</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Сравнительные показатели по исполнению расходной части бюджета представлены в следующей таблице (тыс. руб.):</w:t>
      </w:r>
    </w:p>
    <w:p>
      <w:pPr>
        <w:pStyle w:val="style0"/>
        <w:tabs>
          <w:tab w:leader="none" w:pos="708" w:val="left"/>
          <w:tab w:leader="none" w:pos="4677" w:val="center"/>
          <w:tab w:leader="none" w:pos="6936" w:val="left"/>
        </w:tabs>
        <w:spacing w:after="0" w:before="0" w:line="100" w:lineRule="atLeast"/>
        <w:jc w:val="both"/>
      </w:pPr>
      <w:r>
        <w:rPr/>
      </w:r>
    </w:p>
    <w:tbl>
      <w:tblPr>
        <w:jc w:val="left"/>
        <w:tblInd w:type="dxa" w:w="-122"/>
        <w:tblBorders>
          <w:top w:color="00000A" w:space="0" w:sz="4" w:val="single"/>
          <w:left w:color="00000A" w:space="0" w:sz="4" w:val="single"/>
          <w:bottom w:color="00000A" w:space="0" w:sz="4" w:val="single"/>
          <w:right w:color="00000A" w:space="0" w:sz="4" w:val="single"/>
        </w:tblBorders>
      </w:tblPr>
      <w:tblGrid>
        <w:gridCol w:w="1158"/>
        <w:gridCol w:w="2958"/>
        <w:gridCol w:w="1598"/>
        <w:gridCol w:w="1603"/>
        <w:gridCol w:w="1726"/>
      </w:tblGrid>
      <w:tr>
        <w:trPr>
          <w:trHeight w:hRule="atLeast" w:val="975"/>
          <w:cantSplit w:val="false"/>
        </w:trPr>
        <w:tc>
          <w:tcPr>
            <w:tcW w:type="dxa" w:w="11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b/>
                <w:bCs/>
                <w:sz w:val="28"/>
                <w:szCs w:val="28"/>
                <w:lang w:eastAsia="ru-RU"/>
              </w:rPr>
              <w:t>раздел</w:t>
            </w:r>
          </w:p>
        </w:tc>
        <w:tc>
          <w:tcPr>
            <w:tcW w:type="dxa" w:w="295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b/>
                <w:bCs/>
                <w:sz w:val="28"/>
                <w:szCs w:val="28"/>
                <w:lang w:eastAsia="ru-RU"/>
              </w:rPr>
              <w:t>Наименование  расходов</w:t>
            </w:r>
          </w:p>
        </w:tc>
        <w:tc>
          <w:tcPr>
            <w:tcW w:type="dxa" w:w="1598"/>
            <w:tcBorders>
              <w:top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b/>
                <w:bCs/>
                <w:sz w:val="28"/>
                <w:szCs w:val="28"/>
                <w:lang w:eastAsia="ru-RU"/>
              </w:rPr>
              <w:t>План на 2020 год</w:t>
            </w:r>
          </w:p>
        </w:tc>
        <w:tc>
          <w:tcPr>
            <w:tcW w:type="dxa" w:w="1603"/>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b/>
                <w:bCs/>
                <w:sz w:val="28"/>
                <w:szCs w:val="28"/>
                <w:lang w:eastAsia="ru-RU"/>
              </w:rPr>
              <w:t>Исполнено за 2020 год</w:t>
            </w:r>
          </w:p>
        </w:tc>
        <w:tc>
          <w:tcPr>
            <w:tcW w:type="dxa" w:w="17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b/>
                <w:bCs/>
                <w:sz w:val="28"/>
                <w:szCs w:val="28"/>
                <w:lang w:eastAsia="ru-RU"/>
              </w:rPr>
              <w:t>% исполнения</w:t>
            </w:r>
          </w:p>
        </w:tc>
      </w:tr>
      <w:tr>
        <w:trPr>
          <w:trHeight w:hRule="atLeast" w:val="555"/>
          <w:cantSplit w:val="false"/>
        </w:trPr>
        <w:tc>
          <w:tcPr>
            <w:tcW w:type="dxa" w:w="1158"/>
            <w:vMerge w:val="restart"/>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01 00</w:t>
            </w:r>
          </w:p>
        </w:tc>
        <w:tc>
          <w:tcPr>
            <w:tcW w:type="dxa" w:w="2958"/>
            <w:vMerge w:val="restart"/>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Общегосударственные  вопросы</w:t>
            </w:r>
          </w:p>
        </w:tc>
        <w:tc>
          <w:tcPr>
            <w:tcW w:type="dxa" w:w="1598"/>
            <w:vMerge w:val="restart"/>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3233,210</w:t>
            </w:r>
          </w:p>
        </w:tc>
        <w:tc>
          <w:tcPr>
            <w:tcW w:type="dxa" w:w="1603"/>
            <w:vMerge w:val="restart"/>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2523,244</w:t>
            </w:r>
          </w:p>
        </w:tc>
        <w:tc>
          <w:tcPr>
            <w:tcW w:type="dxa" w:w="1726"/>
            <w:vMerge w:val="restart"/>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78,0</w:t>
            </w:r>
          </w:p>
        </w:tc>
      </w:tr>
      <w:tr>
        <w:trPr>
          <w:trHeight w:hRule="atLeast" w:val="420"/>
          <w:cantSplit w:val="false"/>
        </w:trPr>
        <w:tc>
          <w:tcPr>
            <w:tcW w:type="dxa" w:w="1158"/>
            <w:vMerge w:val="continue"/>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
          </w:p>
        </w:tc>
        <w:tc>
          <w:tcPr>
            <w:tcW w:type="dxa" w:w="2958"/>
            <w:vMerge w:val="continue"/>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
          </w:p>
        </w:tc>
        <w:tc>
          <w:tcPr>
            <w:tcW w:type="dxa" w:w="1598"/>
            <w:vMerge w:val="continue"/>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
          </w:p>
        </w:tc>
        <w:tc>
          <w:tcPr>
            <w:tcW w:type="dxa" w:w="1603"/>
            <w:vMerge w:val="continue"/>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
          </w:p>
        </w:tc>
        <w:tc>
          <w:tcPr>
            <w:tcW w:type="dxa" w:w="1726"/>
            <w:vMerge w:val="continue"/>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
          </w:p>
        </w:tc>
      </w:tr>
      <w:tr>
        <w:trPr>
          <w:trHeight w:hRule="atLeast" w:val="987"/>
          <w:cantSplit w:val="false"/>
        </w:trPr>
        <w:tc>
          <w:tcPr>
            <w:tcW w:type="dxa" w:w="115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02 00</w:t>
            </w:r>
          </w:p>
        </w:tc>
        <w:tc>
          <w:tcPr>
            <w:tcW w:type="dxa" w:w="2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hAnsi="Times New Roman"/>
                <w:sz w:val="28"/>
                <w:szCs w:val="28"/>
              </w:rPr>
              <w:t>Национальная оборона</w:t>
            </w:r>
          </w:p>
        </w:tc>
        <w:tc>
          <w:tcPr>
            <w:tcW w:type="dxa" w:w="1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93,850</w:t>
            </w:r>
          </w:p>
        </w:tc>
        <w:tc>
          <w:tcPr>
            <w:tcW w:type="dxa" w:w="16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93,850</w:t>
            </w:r>
          </w:p>
        </w:tc>
        <w:tc>
          <w:tcPr>
            <w:tcW w:type="dxa" w:w="17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100,0</w:t>
            </w:r>
          </w:p>
        </w:tc>
      </w:tr>
      <w:tr>
        <w:trPr>
          <w:trHeight w:hRule="atLeast" w:val="1485"/>
          <w:cantSplit w:val="false"/>
        </w:trPr>
        <w:tc>
          <w:tcPr>
            <w:tcW w:type="dxa" w:w="115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0300</w:t>
            </w:r>
          </w:p>
        </w:tc>
        <w:tc>
          <w:tcPr>
            <w:tcW w:type="dxa" w:w="2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Национальная безопасность и правоохранительная деятельность</w:t>
            </w:r>
          </w:p>
        </w:tc>
        <w:tc>
          <w:tcPr>
            <w:tcW w:type="dxa" w:w="1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10,000</w:t>
            </w:r>
          </w:p>
        </w:tc>
        <w:tc>
          <w:tcPr>
            <w:tcW w:type="dxa" w:w="16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0,900</w:t>
            </w:r>
          </w:p>
        </w:tc>
        <w:tc>
          <w:tcPr>
            <w:tcW w:type="dxa" w:w="17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9,0</w:t>
            </w:r>
          </w:p>
        </w:tc>
      </w:tr>
      <w:tr>
        <w:trPr>
          <w:trHeight w:hRule="atLeast" w:val="720"/>
          <w:cantSplit w:val="false"/>
        </w:trPr>
        <w:tc>
          <w:tcPr>
            <w:tcW w:type="dxa" w:w="115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04 00</w:t>
            </w:r>
          </w:p>
        </w:tc>
        <w:tc>
          <w:tcPr>
            <w:tcW w:type="dxa" w:w="2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Национальная экономика</w:t>
            </w:r>
          </w:p>
        </w:tc>
        <w:tc>
          <w:tcPr>
            <w:tcW w:type="dxa" w:w="1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3965,424</w:t>
            </w:r>
          </w:p>
        </w:tc>
        <w:tc>
          <w:tcPr>
            <w:tcW w:type="dxa" w:w="16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3496,659</w:t>
            </w:r>
          </w:p>
        </w:tc>
        <w:tc>
          <w:tcPr>
            <w:tcW w:type="dxa" w:w="17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88,2</w:t>
            </w:r>
          </w:p>
        </w:tc>
      </w:tr>
      <w:tr>
        <w:trPr>
          <w:trHeight w:hRule="atLeast" w:val="1155"/>
          <w:cantSplit w:val="false"/>
        </w:trPr>
        <w:tc>
          <w:tcPr>
            <w:tcW w:type="dxa" w:w="115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 xml:space="preserve">05 00 </w:t>
            </w:r>
          </w:p>
        </w:tc>
        <w:tc>
          <w:tcPr>
            <w:tcW w:type="dxa" w:w="2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Жилищно-коммунальное хозяйство</w:t>
            </w:r>
          </w:p>
        </w:tc>
        <w:tc>
          <w:tcPr>
            <w:tcW w:type="dxa" w:w="1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1837,457</w:t>
            </w:r>
          </w:p>
        </w:tc>
        <w:tc>
          <w:tcPr>
            <w:tcW w:type="dxa" w:w="16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1837,457</w:t>
            </w:r>
          </w:p>
        </w:tc>
        <w:tc>
          <w:tcPr>
            <w:tcW w:type="dxa" w:w="17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100,0</w:t>
            </w:r>
          </w:p>
        </w:tc>
      </w:tr>
      <w:tr>
        <w:trPr>
          <w:trHeight w:hRule="atLeast" w:val="569"/>
          <w:cantSplit w:val="false"/>
        </w:trPr>
        <w:tc>
          <w:tcPr>
            <w:tcW w:type="dxa" w:w="115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08 00</w:t>
            </w:r>
          </w:p>
        </w:tc>
        <w:tc>
          <w:tcPr>
            <w:tcW w:type="dxa" w:w="2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Культура</w:t>
            </w:r>
          </w:p>
        </w:tc>
        <w:tc>
          <w:tcPr>
            <w:tcW w:type="dxa" w:w="1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48,000</w:t>
            </w:r>
          </w:p>
        </w:tc>
        <w:tc>
          <w:tcPr>
            <w:tcW w:type="dxa" w:w="16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48,000</w:t>
            </w:r>
          </w:p>
        </w:tc>
        <w:tc>
          <w:tcPr>
            <w:tcW w:type="dxa" w:w="17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sz w:val="28"/>
                <w:szCs w:val="28"/>
                <w:lang w:eastAsia="ru-RU"/>
              </w:rPr>
              <w:t>100,0</w:t>
            </w:r>
          </w:p>
        </w:tc>
      </w:tr>
      <w:tr>
        <w:trPr>
          <w:trHeight w:hRule="atLeast" w:val="375"/>
          <w:cantSplit w:val="false"/>
        </w:trPr>
        <w:tc>
          <w:tcPr>
            <w:tcW w:type="dxa" w:w="11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8"/>
                <w:szCs w:val="28"/>
                <w:lang w:eastAsia="ru-RU"/>
              </w:rPr>
              <w:t> </w:t>
            </w:r>
          </w:p>
        </w:tc>
        <w:tc>
          <w:tcPr>
            <w:tcW w:type="dxa" w:w="2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b/>
                <w:bCs/>
                <w:sz w:val="28"/>
                <w:szCs w:val="28"/>
                <w:lang w:eastAsia="ru-RU"/>
              </w:rPr>
              <w:t>Итого расходов</w:t>
            </w:r>
          </w:p>
        </w:tc>
        <w:tc>
          <w:tcPr>
            <w:tcW w:type="dxa" w:w="1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b/>
                <w:bCs/>
                <w:sz w:val="28"/>
                <w:szCs w:val="28"/>
                <w:lang w:eastAsia="ru-RU"/>
              </w:rPr>
              <w:t>9187,941</w:t>
            </w:r>
          </w:p>
        </w:tc>
        <w:tc>
          <w:tcPr>
            <w:tcW w:type="dxa" w:w="16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b/>
                <w:bCs/>
                <w:sz w:val="28"/>
                <w:szCs w:val="28"/>
                <w:lang w:eastAsia="ru-RU"/>
              </w:rPr>
              <w:t>8000,110</w:t>
            </w:r>
          </w:p>
        </w:tc>
        <w:tc>
          <w:tcPr>
            <w:tcW w:type="dxa" w:w="17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b/>
                <w:bCs/>
                <w:sz w:val="28"/>
                <w:szCs w:val="28"/>
                <w:lang w:eastAsia="ru-RU"/>
              </w:rPr>
              <w:t>87,1</w:t>
            </w:r>
          </w:p>
        </w:tc>
      </w:tr>
    </w:tbl>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Проанализировав итоги исполнения бюджета сельского поселения </w:t>
      </w:r>
      <w:r>
        <w:rPr>
          <w:rFonts w:ascii="Times New Roman" w:cs="Times New Roman" w:hAnsi="Times New Roman"/>
          <w:color w:val="000000"/>
          <w:sz w:val="28"/>
          <w:szCs w:val="28"/>
        </w:rPr>
        <w:t>Красная Поляна</w:t>
      </w:r>
      <w:r>
        <w:rPr>
          <w:rFonts w:ascii="Times New Roman" w:cs="Times New Roman" w:hAnsi="Times New Roman"/>
          <w:color w:val="000000"/>
          <w:sz w:val="28"/>
          <w:szCs w:val="28"/>
        </w:rPr>
        <w:t xml:space="preserve"> муниципального района Пестравский Самарской области, сделаны следующие выводы: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бюджетное законодательство при организации бюджетного процесса в сельском поселении </w:t>
      </w:r>
      <w:r>
        <w:rPr>
          <w:rFonts w:ascii="Times New Roman" w:cs="Times New Roman" w:hAnsi="Times New Roman"/>
          <w:color w:val="000000"/>
          <w:sz w:val="28"/>
          <w:szCs w:val="28"/>
        </w:rPr>
        <w:t>Красная Поляна</w:t>
      </w:r>
      <w:r>
        <w:rPr>
          <w:rFonts w:ascii="Times New Roman" w:cs="Times New Roman" w:hAnsi="Times New Roman"/>
          <w:color w:val="000000"/>
          <w:sz w:val="28"/>
          <w:szCs w:val="28"/>
        </w:rPr>
        <w:t xml:space="preserve"> муниципальном районе Пестравский соблюдается;</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исполнение расходных обязательств сельского поселения </w:t>
      </w:r>
      <w:r>
        <w:rPr>
          <w:rFonts w:ascii="Times New Roman" w:cs="Times New Roman" w:hAnsi="Times New Roman"/>
          <w:color w:val="000000"/>
          <w:sz w:val="28"/>
          <w:szCs w:val="28"/>
        </w:rPr>
        <w:t>Красная Поляна</w:t>
      </w:r>
      <w:r>
        <w:rPr>
          <w:rFonts w:ascii="Times New Roman" w:cs="Times New Roman" w:hAnsi="Times New Roman"/>
          <w:color w:val="000000"/>
          <w:sz w:val="28"/>
          <w:szCs w:val="28"/>
        </w:rPr>
        <w:t xml:space="preserve"> обеспечено, увеличение или принятие новых расходных обязательств осуществляется при наличии их финансового обеспечения;</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анализ доходов показал, что на </w:t>
      </w:r>
      <w:r>
        <w:rPr>
          <w:rFonts w:ascii="Times New Roman" w:cs="Times New Roman" w:hAnsi="Times New Roman"/>
          <w:color w:val="000000"/>
          <w:sz w:val="28"/>
          <w:szCs w:val="28"/>
        </w:rPr>
        <w:t>43,3</w:t>
      </w:r>
      <w:r>
        <w:rPr>
          <w:rFonts w:ascii="Times New Roman" w:cs="Times New Roman" w:hAnsi="Times New Roman"/>
          <w:color w:val="000000"/>
          <w:sz w:val="28"/>
          <w:szCs w:val="28"/>
        </w:rPr>
        <w:t xml:space="preserve"> % они состоят из поступивших налогов и неналоговых платежей и </w:t>
      </w:r>
      <w:r>
        <w:rPr>
          <w:rFonts w:ascii="Times New Roman" w:cs="Times New Roman" w:hAnsi="Times New Roman"/>
          <w:color w:val="000000"/>
          <w:sz w:val="28"/>
          <w:szCs w:val="28"/>
        </w:rPr>
        <w:t>56,7</w:t>
      </w:r>
      <w:r>
        <w:rPr>
          <w:rFonts w:ascii="Times New Roman" w:cs="Times New Roman" w:hAnsi="Times New Roman"/>
          <w:color w:val="000000"/>
          <w:sz w:val="28"/>
          <w:szCs w:val="28"/>
        </w:rPr>
        <w:t>% приходится на безвозмездные поступления в виде дотаций, субсидий, субвенций;</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выполнение плановых значений общих доходов  сложились на уровне </w:t>
      </w:r>
      <w:r>
        <w:rPr>
          <w:rFonts w:ascii="Times New Roman" w:cs="Times New Roman" w:hAnsi="Times New Roman"/>
          <w:color w:val="000000"/>
          <w:sz w:val="28"/>
          <w:szCs w:val="28"/>
        </w:rPr>
        <w:t>93,3</w:t>
      </w:r>
      <w:r>
        <w:rPr>
          <w:rFonts w:ascii="Times New Roman" w:cs="Times New Roman" w:hAnsi="Times New Roman"/>
          <w:color w:val="000000"/>
          <w:sz w:val="28"/>
          <w:szCs w:val="28"/>
        </w:rPr>
        <w:t xml:space="preserve"> % и общих расходов  на уровне </w:t>
      </w:r>
      <w:r>
        <w:rPr>
          <w:rFonts w:ascii="Times New Roman" w:cs="Times New Roman" w:hAnsi="Times New Roman"/>
          <w:color w:val="000000"/>
          <w:sz w:val="28"/>
          <w:szCs w:val="28"/>
        </w:rPr>
        <w:t>87,1</w:t>
      </w:r>
      <w:r>
        <w:rPr>
          <w:rFonts w:ascii="Times New Roman" w:cs="Times New Roman" w:hAnsi="Times New Roman"/>
          <w:color w:val="000000"/>
          <w:sz w:val="28"/>
          <w:szCs w:val="28"/>
        </w:rPr>
        <w:t xml:space="preserve">%;  </w:t>
      </w:r>
    </w:p>
    <w:p>
      <w:pPr>
        <w:pStyle w:val="style0"/>
        <w:numPr>
          <w:ilvl w:val="0"/>
          <w:numId w:val="1"/>
        </w:numPr>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при проверке форм бюджетной отчетности несоответствия данных отраженных в формах, данным, отраженным в отчете об исполнении бюджета, не установлено; взаимная увязка данных соблюдена.</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С учетом вышеизложенного комиссия по бюджету и имущественным отношениям Собрания представителей сельского поселения Красная Поляна муниципального района Пестравский Самарской области считает возможным утверждение годового отчета об исполнении бюджета сельского поселения Красная Поляна муниципального района Пестравский Самарской области за 2020 год. </w:t>
      </w:r>
    </w:p>
    <w:p>
      <w:pPr>
        <w:pStyle w:val="style0"/>
        <w:tabs>
          <w:tab w:leader="none" w:pos="708" w:val="left"/>
          <w:tab w:leader="none" w:pos="4677" w:val="center"/>
          <w:tab w:leader="none" w:pos="6936" w:val="left"/>
        </w:tabs>
        <w:spacing w:after="0" w:before="0" w:line="100" w:lineRule="atLeast"/>
        <w:jc w:val="both"/>
      </w:pPr>
      <w:r>
        <w:rPr>
          <w:color w:val="000000"/>
        </w:rPr>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Председатель комиссии по бюджету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и имущественным отношениям</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Собрания представителей сельского</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поселения </w:t>
      </w:r>
      <w:r>
        <w:rPr>
          <w:rFonts w:ascii="Times New Roman" w:cs="Times New Roman" w:hAnsi="Times New Roman"/>
          <w:color w:val="000000"/>
          <w:sz w:val="28"/>
          <w:szCs w:val="28"/>
        </w:rPr>
        <w:t>Красная Поляна</w:t>
      </w:r>
      <w:r>
        <w:rPr>
          <w:rFonts w:ascii="Times New Roman" w:cs="Times New Roman" w:hAnsi="Times New Roman"/>
          <w:color w:val="000000"/>
          <w:sz w:val="28"/>
          <w:szCs w:val="28"/>
        </w:rPr>
        <w:t xml:space="preserve"> муниципального</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color w:val="000000"/>
          <w:sz w:val="28"/>
          <w:szCs w:val="28"/>
        </w:rPr>
        <w:t xml:space="preserve">района Пестравский Самарской области    </w:t>
      </w:r>
      <w:r>
        <w:rPr>
          <w:rFonts w:ascii="Times New Roman" w:cs="Times New Roman" w:hAnsi="Times New Roman"/>
          <w:sz w:val="28"/>
          <w:szCs w:val="28"/>
        </w:rPr>
        <w:t xml:space="preserve">                                  Г.Н. Золова</w:t>
      </w:r>
    </w:p>
    <w:sectPr>
      <w:footerReference r:id="rId2" w:type="default"/>
      <w:type w:val="nextPage"/>
      <w:pgSz w:h="16838" w:w="11906"/>
      <w:pgMar w:bottom="1134" w:footer="709" w:gutter="0" w:header="0" w:left="1701" w:right="851" w:top="709"/>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fldChar w:fldCharType="begin"/>
    </w:r>
    <w:r>
      <w:instrText> PAGE </w:instrText>
    </w:r>
    <w:r>
      <w:fldChar w:fldCharType="separate"/>
    </w:r>
    <w:r>
      <w:t>5</w:t>
    </w:r>
    <w:r>
      <w:fldChar w:fldCharType="end"/>
    </w:r>
  </w:p>
  <w:p>
    <w:pPr>
      <w:pStyle w:val="style28"/>
    </w:pPr>
    <w:r>
      <w:rPr/>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4" w:lineRule="auto"/>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Верхний колонтитул Знак"/>
    <w:basedOn w:val="style15"/>
    <w:next w:val="style17"/>
    <w:rPr>
      <w:rFonts w:ascii="Times New Roman" w:cs="Times New Roman" w:eastAsia="Times New Roman" w:hAnsi="Times New Roman"/>
      <w:sz w:val="28"/>
      <w:szCs w:val="28"/>
      <w:lang w:eastAsia="ru-RU"/>
    </w:rPr>
  </w:style>
  <w:style w:styleId="style18" w:type="character">
    <w:name w:val="page number"/>
    <w:basedOn w:val="style15"/>
    <w:next w:val="style18"/>
    <w:rPr/>
  </w:style>
  <w:style w:styleId="style19" w:type="character">
    <w:name w:val="Нижний колонтитул Знак"/>
    <w:basedOn w:val="style15"/>
    <w:next w:val="style19"/>
    <w:rPr/>
  </w:style>
  <w:style w:styleId="style20" w:type="character">
    <w:name w:val="Маркеры списка"/>
    <w:next w:val="style20"/>
    <w:rPr>
      <w:rFonts w:ascii="OpenSymbol" w:cs="OpenSymbol" w:eastAsia="OpenSymbol" w:hAnsi="OpenSymbol"/>
    </w:rPr>
  </w:style>
  <w:style w:styleId="style21" w:type="paragraph">
    <w:name w:val="Заголовок"/>
    <w:basedOn w:val="style0"/>
    <w:next w:val="style22"/>
    <w:pPr>
      <w:keepNext/>
      <w:spacing w:after="120" w:before="240"/>
    </w:pPr>
    <w:rPr>
      <w:rFonts w:ascii="Arial" w:cs="Mangal" w:eastAsia="Microsoft YaHei" w:hAnsi="Arial"/>
      <w:sz w:val="28"/>
      <w:szCs w:val="28"/>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Balloon Text"/>
    <w:basedOn w:val="style0"/>
    <w:next w:val="style26"/>
    <w:pPr>
      <w:spacing w:after="0" w:before="0" w:line="100" w:lineRule="atLeast"/>
    </w:pPr>
    <w:rPr>
      <w:rFonts w:ascii="Segoe UI" w:cs="Segoe UI" w:hAnsi="Segoe UI"/>
      <w:sz w:val="18"/>
      <w:szCs w:val="18"/>
    </w:rPr>
  </w:style>
  <w:style w:styleId="style27" w:type="paragraph">
    <w:name w:val="Верхний колонтитул"/>
    <w:basedOn w:val="style0"/>
    <w:next w:val="style27"/>
    <w:pPr>
      <w:widowControl w:val="false"/>
      <w:suppressLineNumbers/>
      <w:tabs>
        <w:tab w:leader="none" w:pos="-30" w:val="left"/>
        <w:tab w:leader="none" w:pos="4153" w:val="center"/>
        <w:tab w:leader="none" w:pos="8306" w:val="right"/>
      </w:tabs>
      <w:spacing w:after="0" w:before="0" w:line="100" w:lineRule="atLeast"/>
      <w:ind w:firstLine="539" w:left="0" w:right="0"/>
      <w:jc w:val="both"/>
    </w:pPr>
    <w:rPr>
      <w:rFonts w:ascii="Times New Roman" w:cs="Times New Roman" w:eastAsia="Times New Roman" w:hAnsi="Times New Roman"/>
      <w:sz w:val="28"/>
      <w:szCs w:val="28"/>
      <w:lang w:eastAsia="ru-RU"/>
    </w:rPr>
  </w:style>
  <w:style w:styleId="style28" w:type="paragraph">
    <w:name w:val="Нижний колонтитул"/>
    <w:basedOn w:val="style0"/>
    <w:next w:val="style28"/>
    <w:pPr>
      <w:suppressLineNumbers/>
      <w:tabs>
        <w:tab w:leader="none" w:pos="4677" w:val="center"/>
        <w:tab w:leader="none" w:pos="9355"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170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2021-04-02T07:07:00.00Z</dcterms:created>
  <dc:creator>Марина Данчева</dc:creator>
  <cp:lastModifiedBy>Батова</cp:lastModifiedBy>
  <cp:lastPrinted>2021-04-02T09:54:00.00Z</cp:lastPrinted>
  <dcterms:modified xsi:type="dcterms:W3CDTF">2021-04-02T09:58:00.00Z</dcterms:modified>
  <cp:revision>40</cp:revision>
</cp:coreProperties>
</file>